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D" w:rsidRPr="00B50E18" w:rsidRDefault="0088184D" w:rsidP="0088184D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Додаток 1 до наказу</w:t>
      </w:r>
    </w:p>
    <w:p w:rsidR="0088184D" w:rsidRPr="00B50E18" w:rsidRDefault="0088184D" w:rsidP="0088184D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88184D" w:rsidRPr="00B50E18" w:rsidRDefault="0088184D" w:rsidP="0088184D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від 0</w:t>
      </w:r>
      <w:r>
        <w:rPr>
          <w:rFonts w:ascii="Times New Roman" w:hAnsi="Times New Roman"/>
          <w:lang w:val="uk-UA"/>
        </w:rPr>
        <w:t>9</w:t>
      </w:r>
      <w:r w:rsidRPr="00B50E18">
        <w:rPr>
          <w:rFonts w:ascii="Times New Roman" w:hAnsi="Times New Roman"/>
          <w:lang w:val="uk-UA"/>
        </w:rPr>
        <w:t xml:space="preserve"> жовтня 2017 року № </w:t>
      </w:r>
      <w:r>
        <w:rPr>
          <w:rFonts w:ascii="Times New Roman" w:hAnsi="Times New Roman"/>
          <w:lang w:val="uk-UA"/>
        </w:rPr>
        <w:t>76/08-07</w:t>
      </w:r>
    </w:p>
    <w:p w:rsidR="0088184D" w:rsidRPr="00B50E18" w:rsidRDefault="0088184D" w:rsidP="0088184D">
      <w:pPr>
        <w:pStyle w:val="a4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88184D" w:rsidRPr="00B50E18" w:rsidRDefault="0088184D" w:rsidP="0088184D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88184D" w:rsidRPr="00B50E18" w:rsidRDefault="0088184D" w:rsidP="0088184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88184D" w:rsidRPr="00B50E18" w:rsidRDefault="0088184D" w:rsidP="0088184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на зайняття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88184D" w:rsidRPr="00B50E18" w:rsidRDefault="0088184D" w:rsidP="0088184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старшого судового розпорядника </w:t>
      </w:r>
      <w:r>
        <w:rPr>
          <w:rFonts w:ascii="Times New Roman" w:hAnsi="Times New Roman"/>
          <w:b/>
          <w:color w:val="000000"/>
          <w:lang w:val="uk-UA"/>
        </w:rPr>
        <w:t xml:space="preserve">відділу  служби судових розпорядників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Мукачівського міськрайонного суду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88184D" w:rsidTr="00721976">
        <w:tc>
          <w:tcPr>
            <w:tcW w:w="9855" w:type="dxa"/>
            <w:gridSpan w:val="2"/>
            <w:shd w:val="clear" w:color="auto" w:fill="auto"/>
          </w:tcPr>
          <w:p w:rsidR="0088184D" w:rsidRPr="00652EED" w:rsidRDefault="0088184D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1</w:t>
            </w:r>
            <w:r w:rsidRPr="00652EED">
              <w:rPr>
                <w:rFonts w:ascii="Times New Roman" w:hAnsi="Times New Roman" w:cs="Times New Roman"/>
                <w:lang w:val="uk-UA"/>
              </w:rPr>
              <w:t>.</w:t>
            </w:r>
            <w:r w:rsidRPr="00652EED">
              <w:rPr>
                <w:rFonts w:ascii="Times New Roman" w:eastAsia="Calibri" w:hAnsi="Times New Roman" w:cs="Times New Roman"/>
              </w:rPr>
              <w:t> 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Веде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журнал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обліку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розпоряджень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суду,  заступник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 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суддів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заходів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2.</w:t>
            </w:r>
            <w:r w:rsidRPr="00652EED">
              <w:rPr>
                <w:rFonts w:ascii="Times New Roman" w:eastAsia="Calibri" w:hAnsi="Times New Roman" w:cs="Times New Roman"/>
              </w:rPr>
              <w:t xml:space="preserve">  Визначає   необхідну  кількість   судових   розпорядників   та відповідального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3.</w:t>
            </w:r>
            <w:r w:rsidRPr="00652EED">
              <w:rPr>
                <w:rFonts w:ascii="Times New Roman" w:eastAsia="Calibri" w:hAnsi="Times New Roman" w:cs="Times New Roman"/>
              </w:rPr>
              <w:t>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Організовує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готовності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розгляду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справи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залу 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,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взаємодію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працівниками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апарату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підготовки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залу до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слухання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справи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4.</w:t>
            </w:r>
            <w:r w:rsidRPr="00652EED">
              <w:rPr>
                <w:rFonts w:ascii="Times New Roman" w:eastAsia="Calibri" w:hAnsi="Times New Roman" w:cs="Times New Roman"/>
              </w:rPr>
              <w:t xml:space="preserve">  Проводить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інструктаж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перед початком судового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роз'ясненням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дій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кожного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них,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урахуванням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особливостей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справи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5</w:t>
            </w:r>
            <w:r w:rsidRPr="00652EED">
              <w:rPr>
                <w:rFonts w:ascii="Times New Roman" w:eastAsia="Calibri" w:hAnsi="Times New Roman" w:cs="Times New Roman"/>
              </w:rPr>
              <w:t>.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Координує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керівниками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підрозділів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конвойної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міліції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внутрішніх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справ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своєчасної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доставки в суд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підсудних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затриманих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осіб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, 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також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інформує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головуючого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затримку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доставки до суду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зазначених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осіб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6</w:t>
            </w:r>
            <w:r w:rsidRPr="00652EED">
              <w:rPr>
                <w:rFonts w:ascii="Times New Roman" w:eastAsia="Calibri" w:hAnsi="Times New Roman" w:cs="Times New Roman"/>
              </w:rPr>
              <w:t>. 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Організовує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в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разі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необхідності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взаємодію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спеціальними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підрозділами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судової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міліції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органами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внутрішніх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справ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спільних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дій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підтримання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громадського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порядку 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приміщенні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 та 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залі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7</w:t>
            </w:r>
            <w:r w:rsidRPr="00652EED">
              <w:rPr>
                <w:rFonts w:ascii="Times New Roman" w:eastAsia="Calibri" w:hAnsi="Times New Roman" w:cs="Times New Roman"/>
              </w:rPr>
              <w:t xml:space="preserve">.  Вживає заходи щодо створення безпечних умов для роботи судових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вносить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відповідні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пропозиції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8</w:t>
            </w:r>
            <w:r w:rsidRPr="00652EED">
              <w:rPr>
                <w:rFonts w:ascii="Times New Roman" w:eastAsia="Calibri" w:hAnsi="Times New Roman" w:cs="Times New Roman"/>
              </w:rPr>
              <w:t>. 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час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заходів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підготовки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безпосередньо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виконує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обов'язки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передбачені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відповідною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посадовою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інструкцією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9</w:t>
            </w:r>
            <w:r w:rsidRPr="00652EE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Виконує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інші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розпорядження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головуючого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належних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умов для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доручення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суду,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доручення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керівника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апарату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суду,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стосуються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належних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умов для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88184D" w:rsidRPr="00652EED" w:rsidRDefault="0088184D" w:rsidP="00721976">
            <w:pPr>
              <w:pStyle w:val="a3"/>
              <w:tabs>
                <w:tab w:val="left" w:pos="507"/>
              </w:tabs>
              <w:spacing w:before="0" w:beforeAutospacing="0" w:after="0"/>
              <w:ind w:left="120"/>
              <w:jc w:val="both"/>
              <w:rPr>
                <w:sz w:val="22"/>
                <w:szCs w:val="22"/>
              </w:rPr>
            </w:pP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88184D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2649грн.;</w:t>
            </w:r>
          </w:p>
          <w:p w:rsidR="0088184D" w:rsidRPr="00652EED" w:rsidRDefault="0088184D" w:rsidP="0088184D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праці-премія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88184D" w:rsidRPr="00652EED" w:rsidRDefault="0088184D" w:rsidP="00721976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безстроково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88184D" w:rsidRPr="00652EED" w:rsidRDefault="0088184D" w:rsidP="00721976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 2017 року  о  </w:t>
            </w:r>
            <w:r>
              <w:rPr>
                <w:rFonts w:ascii="Times New Roman" w:hAnsi="Times New Roman" w:cs="Times New Roman"/>
                <w:lang w:val="uk-UA"/>
              </w:rPr>
              <w:t>09 год. 3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88184D" w:rsidRPr="00652EED" w:rsidRDefault="0088184D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84D" w:rsidRPr="00652EED" w:rsidRDefault="0088184D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88184D" w:rsidRPr="00652EED" w:rsidRDefault="0088184D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84D" w:rsidRPr="00652EED" w:rsidTr="00721976">
        <w:tc>
          <w:tcPr>
            <w:tcW w:w="9855" w:type="dxa"/>
            <w:gridSpan w:val="2"/>
            <w:shd w:val="clear" w:color="auto" w:fill="auto"/>
          </w:tcPr>
          <w:p w:rsidR="0088184D" w:rsidRPr="00652EED" w:rsidRDefault="0088184D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не нижче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ступеня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молодшого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</w:t>
            </w:r>
            <w:r w:rsidRPr="00652EED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«Право»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Правознавство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Правоохоронна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88184D" w:rsidRPr="00652EED" w:rsidTr="00721976">
        <w:tc>
          <w:tcPr>
            <w:tcW w:w="9855" w:type="dxa"/>
            <w:gridSpan w:val="2"/>
            <w:shd w:val="clear" w:color="auto" w:fill="auto"/>
          </w:tcPr>
          <w:p w:rsidR="0088184D" w:rsidRPr="00652EED" w:rsidRDefault="0088184D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88184D" w:rsidRPr="00652EED" w:rsidTr="00721976">
        <w:tc>
          <w:tcPr>
            <w:tcW w:w="9855" w:type="dxa"/>
            <w:gridSpan w:val="2"/>
            <w:shd w:val="clear" w:color="auto" w:fill="auto"/>
          </w:tcPr>
          <w:p w:rsidR="0088184D" w:rsidRPr="00652EED" w:rsidRDefault="0088184D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88184D" w:rsidRPr="00652EED" w:rsidRDefault="0088184D" w:rsidP="0088184D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88184D" w:rsidRPr="00652EED" w:rsidRDefault="0088184D" w:rsidP="0088184D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88184D" w:rsidRPr="00652EED" w:rsidRDefault="0088184D" w:rsidP="0088184D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88184D" w:rsidRPr="00652EED" w:rsidTr="00721976">
        <w:tc>
          <w:tcPr>
            <w:tcW w:w="1772" w:type="dxa"/>
            <w:shd w:val="clear" w:color="auto" w:fill="auto"/>
          </w:tcPr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</w:p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</w:p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</w:p>
          <w:p w:rsidR="0088184D" w:rsidRPr="00652EED" w:rsidRDefault="0088184D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88184D" w:rsidRPr="00652EED" w:rsidRDefault="0088184D" w:rsidP="00721976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88184D" w:rsidRPr="00652EED" w:rsidRDefault="0088184D" w:rsidP="00721976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88184D" w:rsidRPr="00652EED" w:rsidRDefault="0088184D" w:rsidP="00721976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88184D" w:rsidRPr="00652EED" w:rsidRDefault="0088184D" w:rsidP="00721976">
            <w:pPr>
              <w:pStyle w:val="a4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88184D" w:rsidRPr="00652EED" w:rsidRDefault="0088184D" w:rsidP="00721976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8184D" w:rsidRPr="00652EED" w:rsidRDefault="0088184D" w:rsidP="0088184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8184D" w:rsidRDefault="0088184D" w:rsidP="0088184D">
      <w:pPr>
        <w:pStyle w:val="a4"/>
        <w:spacing w:after="0"/>
        <w:ind w:left="0"/>
        <w:jc w:val="both"/>
        <w:rPr>
          <w:lang w:val="uk-UA"/>
        </w:rPr>
      </w:pPr>
    </w:p>
    <w:p w:rsidR="0088184D" w:rsidRDefault="0088184D" w:rsidP="0088184D">
      <w:pPr>
        <w:pStyle w:val="a4"/>
        <w:spacing w:after="0"/>
        <w:ind w:left="0"/>
        <w:jc w:val="both"/>
        <w:rPr>
          <w:lang w:val="uk-UA"/>
        </w:rPr>
      </w:pPr>
    </w:p>
    <w:p w:rsidR="0088184D" w:rsidRDefault="0088184D" w:rsidP="0088184D">
      <w:pPr>
        <w:pStyle w:val="a4"/>
        <w:spacing w:after="0"/>
        <w:ind w:left="0"/>
        <w:jc w:val="both"/>
        <w:rPr>
          <w:lang w:val="uk-UA"/>
        </w:rPr>
      </w:pPr>
    </w:p>
    <w:p w:rsidR="0088184D" w:rsidRDefault="0088184D" w:rsidP="0088184D">
      <w:pPr>
        <w:pStyle w:val="a4"/>
        <w:spacing w:after="0"/>
        <w:ind w:left="0"/>
        <w:jc w:val="both"/>
        <w:rPr>
          <w:lang w:val="uk-UA"/>
        </w:rPr>
      </w:pPr>
    </w:p>
    <w:p w:rsidR="0088184D" w:rsidRDefault="0088184D" w:rsidP="0088184D"/>
    <w:p w:rsidR="0088184D" w:rsidRPr="009821F6" w:rsidRDefault="0088184D" w:rsidP="0088184D"/>
    <w:p w:rsidR="0088184D" w:rsidRPr="00EF77C4" w:rsidRDefault="0088184D" w:rsidP="0088184D">
      <w:pPr>
        <w:rPr>
          <w:lang w:val="uk-UA"/>
        </w:rPr>
      </w:pPr>
    </w:p>
    <w:p w:rsidR="0088184D" w:rsidRDefault="0088184D" w:rsidP="0088184D">
      <w:pPr>
        <w:rPr>
          <w:lang w:val="uk-UA"/>
        </w:rPr>
      </w:pPr>
    </w:p>
    <w:p w:rsidR="0088184D" w:rsidRDefault="0088184D" w:rsidP="0088184D">
      <w:pPr>
        <w:rPr>
          <w:lang w:val="uk-UA"/>
        </w:rPr>
      </w:pPr>
    </w:p>
    <w:p w:rsidR="0088184D" w:rsidRDefault="0088184D" w:rsidP="0088184D">
      <w:pPr>
        <w:rPr>
          <w:lang w:val="uk-UA"/>
        </w:rPr>
      </w:pPr>
    </w:p>
    <w:p w:rsidR="0088184D" w:rsidRDefault="0088184D" w:rsidP="0088184D">
      <w:pPr>
        <w:rPr>
          <w:lang w:val="uk-UA"/>
        </w:rPr>
      </w:pPr>
    </w:p>
    <w:p w:rsidR="006D300D" w:rsidRPr="0088184D" w:rsidRDefault="006D300D">
      <w:pPr>
        <w:rPr>
          <w:lang w:val="uk-UA"/>
        </w:rPr>
      </w:pPr>
    </w:p>
    <w:sectPr w:rsidR="006D300D" w:rsidRPr="0088184D" w:rsidSect="006D3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84D"/>
    <w:rsid w:val="006D300D"/>
    <w:rsid w:val="0088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818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81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2017-10-09T06:36:00Z</dcterms:created>
  <dcterms:modified xsi:type="dcterms:W3CDTF">2017-10-09T06:37:00Z</dcterms:modified>
</cp:coreProperties>
</file>